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В ГОСТЯХ У ТУРГЕНЕВА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школьник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1650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рублей, взрослый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1850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Музей-заповедник «Спасское-Лутовиново»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4"/>
          <w:szCs w:val="24"/>
        </w:rPr>
        <w:t>осударственный мемориальный и природный музей–заповедник И. С. Тургенева «Спасское-Лутовиново» — уникальный памятник культуры, единственный в России мемориальный музей великого русского писателя.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«Рудин», «Дворянское гнездо», «Фауст», «Отцы и дети», «Накануне», «Призраки», «Новь», «Песнь торжествующей любви», стихотворения в прозе – вот далеко не полный перечень тургеневских произведений, история создания которых связана со Спасским-Лутовиновым – родовым имением матери писателя во Мценском уезде Орловской губернии.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Музей писателя в Спасском хранит память о многих замечательных людях: гостями Тургенева были Л.Н. Толстой, Н.А. Некрасов, А.А. Фет, М.С. Щепкин, Я.П. Полонский, Д.В. Григорович, М.Г. Савина, Н.В. Успенский, В.М. Гаршин и другие виднейшие представители русской культуры.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Музей-заповедник «Спасское-Лутовиново» — это не только мемориал великого русского писателя, не только память о людях и событиях, так или иначе прикоснувшихся к Спасскому за всю его многовековую историю, это одна из немногих сохранившихся в России усадеб-памятников, это с огромным трудом сохраненное нашими предками тургеневское пространство.</w:t>
      </w:r>
    </w:p>
    <w:p w14:paraId="00000008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 своему значению музей-заповедник И. С. Тургенева «Спасское–Лутовиново» — один из крупнейших литературных мемориальных комплексов России. Ежегодно музей заповедник принимает около 120 тысяч посетителей.</w:t>
      </w:r>
    </w:p>
    <w:p w14:paraId="00000009">
      <w:pPr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 по г.Орел.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Орёл — славится своим литературным прошлым и 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instrText xml:space="preserve">HYPERLINK "https://ria.ru/20210612/orel-1736723921.html"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официально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носит звание «Литературной столицы России». Здесь можно прогуляться по улицам, на которых когда-то жили и писали работы И. А. Бунин, Н. С. Лесков, Л. Н. Андреев, рассмотреть семейные фотографии А. А. Фета, М. М. Пришвина.</w:t>
      </w:r>
    </w:p>
    <w:p w14:paraId="0000000A">
      <w:pPr>
        <w:spacing w:line="240" w:lineRule="auto"/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Город стоит на слиянии двух рек — Оки и Орлика. В центре по соседству с современными домами и постройками советских лет доживают свой век старинные дворянские особняки, чьей архитектурой вдохновляются орловские художники. Рядом разбиты парки и скверы, установлены памятники писателям-орловцам и единственный в России монумент Ивану IV Грозному.</w:t>
      </w:r>
    </w:p>
    <w:p w14:paraId="0000000B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</w:p>
    <w:p w14:paraId="0000000C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>кскурсия по Дому-музею И.С. Тургенева и усадебному парку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10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обзорная экскурсия по г. Орел;</w:t>
      </w:r>
    </w:p>
    <w:p w14:paraId="00000011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12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13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A52BA"/>
    <w:rsid w:val="000C1E65"/>
    <w:rsid w:val="002E01B5"/>
    <w:rsid w:val="00332325"/>
    <w:rsid w:val="00393003"/>
    <w:rsid w:val="004860B5"/>
    <w:rsid w:val="0049032B"/>
    <w:rsid w:val="004915D9"/>
    <w:rsid w:val="005A6178"/>
    <w:rsid w:val="006C0B77"/>
    <w:rsid w:val="006D5B3A"/>
    <w:rsid w:val="007911D7"/>
    <w:rsid w:val="007B4F58"/>
    <w:rsid w:val="008242FF"/>
    <w:rsid w:val="00870751"/>
    <w:rsid w:val="00894E19"/>
    <w:rsid w:val="008E150C"/>
    <w:rsid w:val="00922C48"/>
    <w:rsid w:val="009A27F0"/>
    <w:rsid w:val="00A6281A"/>
    <w:rsid w:val="00B61EAA"/>
    <w:rsid w:val="00B915B7"/>
    <w:rsid w:val="00BA026A"/>
    <w:rsid w:val="00C233A0"/>
    <w:rsid w:val="00C71259"/>
    <w:rsid w:val="00D03039"/>
    <w:rsid w:val="00E4073F"/>
    <w:rsid w:val="00E73D71"/>
    <w:rsid w:val="00E8368F"/>
    <w:rsid w:val="00E969E0"/>
    <w:rsid w:val="00EA59DF"/>
    <w:rsid w:val="00EC1B46"/>
    <w:rsid w:val="00EC56F5"/>
    <w:rsid w:val="00EE4070"/>
    <w:rsid w:val="00F12C76"/>
    <w:rsid w:val="00F9508C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s://ria.ru/20210612/orel-1736723921.html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